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4F4BB">
      <w:pPr>
        <w:widowControl/>
        <w:spacing w:line="600" w:lineRule="exact"/>
        <w:rPr>
          <w:rFonts w:hint="eastAsia" w:ascii="方正黑体_GBK" w:hAnsi="方正黑体_GBK" w:eastAsia="方正黑体_GBK" w:cs="方正黑体_GBK"/>
          <w:color w:val="333333"/>
          <w:spacing w:val="8"/>
          <w:kern w:val="0"/>
          <w:sz w:val="32"/>
          <w:szCs w:val="32"/>
        </w:rPr>
      </w:pPr>
      <w:r>
        <w:rPr>
          <w:rFonts w:hint="eastAsia" w:ascii="方正黑体_GBK" w:hAnsi="方正黑体_GBK" w:eastAsia="方正黑体_GBK" w:cs="方正黑体_GBK"/>
          <w:color w:val="333333"/>
          <w:spacing w:val="8"/>
          <w:kern w:val="0"/>
          <w:sz w:val="32"/>
          <w:szCs w:val="32"/>
        </w:rPr>
        <w:t>附件5</w:t>
      </w:r>
    </w:p>
    <w:p w14:paraId="63043063">
      <w:pPr>
        <w:widowControl/>
        <w:spacing w:line="600" w:lineRule="exact"/>
        <w:rPr>
          <w:rFonts w:eastAsia="仿宋_GB2312"/>
          <w:color w:val="333333"/>
          <w:spacing w:val="8"/>
          <w:kern w:val="0"/>
          <w:sz w:val="32"/>
          <w:szCs w:val="32"/>
        </w:rPr>
      </w:pPr>
    </w:p>
    <w:p w14:paraId="13DEE9A1">
      <w:pPr>
        <w:spacing w:line="600" w:lineRule="exact"/>
        <w:jc w:val="center"/>
        <w:rPr>
          <w:rFonts w:eastAsia="方正小标宋_GBK"/>
          <w:bCs/>
          <w:color w:val="333333"/>
          <w:spacing w:val="8"/>
          <w:kern w:val="0"/>
          <w:sz w:val="44"/>
          <w:szCs w:val="44"/>
        </w:rPr>
      </w:pPr>
      <w:r>
        <w:rPr>
          <w:rFonts w:hint="eastAsia" w:eastAsia="方正小标宋_GBK"/>
          <w:bCs/>
          <w:color w:val="333333"/>
          <w:spacing w:val="8"/>
          <w:kern w:val="0"/>
          <w:sz w:val="44"/>
          <w:szCs w:val="44"/>
        </w:rPr>
        <w:t>渝中区2026年“母城工匠”杯</w:t>
      </w:r>
      <w:r>
        <w:rPr>
          <w:rFonts w:eastAsia="方正小标宋_GBK"/>
          <w:bCs/>
          <w:color w:val="333333"/>
          <w:spacing w:val="8"/>
          <w:kern w:val="0"/>
          <w:sz w:val="44"/>
          <w:szCs w:val="44"/>
        </w:rPr>
        <w:t>职业技能</w:t>
      </w:r>
      <w:r>
        <w:rPr>
          <w:rFonts w:hint="eastAsia" w:eastAsia="方正小标宋_GBK"/>
          <w:bCs/>
          <w:color w:val="333333"/>
          <w:spacing w:val="8"/>
          <w:kern w:val="0"/>
          <w:sz w:val="44"/>
          <w:szCs w:val="44"/>
        </w:rPr>
        <w:t>大赛项目竞争性磋商评分</w:t>
      </w:r>
      <w:r>
        <w:rPr>
          <w:rFonts w:eastAsia="方正小标宋_GBK"/>
          <w:bCs/>
          <w:color w:val="333333"/>
          <w:spacing w:val="8"/>
          <w:kern w:val="0"/>
          <w:sz w:val="44"/>
          <w:szCs w:val="44"/>
        </w:rPr>
        <w:t>细则</w:t>
      </w:r>
    </w:p>
    <w:p w14:paraId="2D084172">
      <w:pPr>
        <w:spacing w:line="600" w:lineRule="exact"/>
        <w:jc w:val="center"/>
        <w:rPr>
          <w:rFonts w:eastAsia="方正小标宋_GBK"/>
          <w:bCs/>
          <w:color w:val="333333"/>
          <w:spacing w:val="8"/>
          <w:kern w:val="0"/>
          <w:sz w:val="44"/>
          <w:szCs w:val="44"/>
        </w:rPr>
      </w:pPr>
    </w:p>
    <w:tbl>
      <w:tblPr>
        <w:tblStyle w:val="4"/>
        <w:tblW w:w="8667"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765"/>
        <w:gridCol w:w="3690"/>
        <w:gridCol w:w="1956"/>
        <w:gridCol w:w="954"/>
      </w:tblGrid>
      <w:tr w14:paraId="7B91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02" w:type="dxa"/>
            <w:tcBorders>
              <w:left w:val="single" w:color="auto" w:sz="4" w:space="0"/>
              <w:bottom w:val="single" w:color="auto" w:sz="4" w:space="0"/>
            </w:tcBorders>
            <w:vAlign w:val="center"/>
          </w:tcPr>
          <w:p w14:paraId="6FD3125E">
            <w:pPr>
              <w:ind w:firstLine="28"/>
              <w:jc w:val="center"/>
              <w:rPr>
                <w:rFonts w:eastAsia="仿宋"/>
                <w:b/>
                <w:bCs/>
                <w:color w:val="000000"/>
                <w:sz w:val="24"/>
              </w:rPr>
            </w:pPr>
            <w:r>
              <w:rPr>
                <w:rFonts w:eastAsia="仿宋"/>
                <w:b/>
                <w:bCs/>
                <w:color w:val="000000"/>
                <w:sz w:val="24"/>
              </w:rPr>
              <w:t>评分因素</w:t>
            </w:r>
          </w:p>
          <w:p w14:paraId="3DADFE8C">
            <w:pPr>
              <w:ind w:firstLine="28"/>
              <w:jc w:val="center"/>
              <w:rPr>
                <w:rFonts w:eastAsia="仿宋"/>
                <w:b/>
                <w:bCs/>
                <w:color w:val="000000"/>
                <w:sz w:val="24"/>
              </w:rPr>
            </w:pPr>
            <w:r>
              <w:rPr>
                <w:rFonts w:eastAsia="仿宋"/>
                <w:b/>
                <w:bCs/>
                <w:color w:val="000000"/>
                <w:sz w:val="24"/>
              </w:rPr>
              <w:t>及权重</w:t>
            </w:r>
          </w:p>
        </w:tc>
        <w:tc>
          <w:tcPr>
            <w:tcW w:w="765" w:type="dxa"/>
            <w:tcBorders>
              <w:left w:val="nil"/>
            </w:tcBorders>
            <w:vAlign w:val="center"/>
          </w:tcPr>
          <w:p w14:paraId="22794B85">
            <w:pPr>
              <w:ind w:firstLine="28"/>
              <w:jc w:val="center"/>
              <w:rPr>
                <w:rFonts w:eastAsia="仿宋"/>
                <w:b/>
                <w:bCs/>
                <w:color w:val="000000"/>
                <w:sz w:val="24"/>
              </w:rPr>
            </w:pPr>
            <w:r>
              <w:rPr>
                <w:rFonts w:eastAsia="仿宋"/>
                <w:b/>
                <w:bCs/>
                <w:color w:val="000000"/>
                <w:sz w:val="24"/>
              </w:rPr>
              <w:t>分值</w:t>
            </w:r>
          </w:p>
        </w:tc>
        <w:tc>
          <w:tcPr>
            <w:tcW w:w="3690" w:type="dxa"/>
            <w:tcBorders>
              <w:left w:val="nil"/>
            </w:tcBorders>
            <w:vAlign w:val="center"/>
          </w:tcPr>
          <w:p w14:paraId="58F1A9A5">
            <w:pPr>
              <w:ind w:firstLine="28"/>
              <w:jc w:val="center"/>
              <w:rPr>
                <w:rFonts w:eastAsia="仿宋"/>
                <w:b/>
                <w:bCs/>
                <w:color w:val="000000"/>
                <w:sz w:val="24"/>
              </w:rPr>
            </w:pPr>
            <w:r>
              <w:rPr>
                <w:rFonts w:eastAsia="仿宋"/>
                <w:b/>
                <w:bCs/>
                <w:color w:val="000000"/>
                <w:sz w:val="24"/>
              </w:rPr>
              <w:t>评分标准</w:t>
            </w:r>
          </w:p>
        </w:tc>
        <w:tc>
          <w:tcPr>
            <w:tcW w:w="1956" w:type="dxa"/>
            <w:tcBorders>
              <w:left w:val="nil"/>
            </w:tcBorders>
            <w:vAlign w:val="center"/>
          </w:tcPr>
          <w:p w14:paraId="405F4620">
            <w:pPr>
              <w:pStyle w:val="6"/>
              <w:rPr>
                <w:rFonts w:eastAsia="仿宋"/>
                <w:color w:val="000000"/>
              </w:rPr>
            </w:pPr>
            <w:r>
              <w:rPr>
                <w:rFonts w:eastAsia="仿宋"/>
                <w:color w:val="000000"/>
              </w:rPr>
              <w:t>说明</w:t>
            </w:r>
          </w:p>
        </w:tc>
        <w:tc>
          <w:tcPr>
            <w:tcW w:w="954" w:type="dxa"/>
            <w:tcBorders>
              <w:left w:val="nil"/>
            </w:tcBorders>
            <w:vAlign w:val="center"/>
          </w:tcPr>
          <w:p w14:paraId="38F876B0">
            <w:pPr>
              <w:pStyle w:val="6"/>
              <w:rPr>
                <w:rFonts w:eastAsia="仿宋"/>
                <w:color w:val="000000"/>
              </w:rPr>
            </w:pPr>
            <w:r>
              <w:rPr>
                <w:rFonts w:eastAsia="仿宋"/>
                <w:color w:val="000000"/>
              </w:rPr>
              <w:t>得分</w:t>
            </w:r>
          </w:p>
        </w:tc>
      </w:tr>
      <w:tr w14:paraId="1514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1302" w:type="dxa"/>
            <w:tcBorders>
              <w:top w:val="single" w:color="auto" w:sz="4" w:space="0"/>
              <w:left w:val="single" w:color="auto" w:sz="4" w:space="0"/>
              <w:bottom w:val="single" w:color="auto" w:sz="4" w:space="0"/>
            </w:tcBorders>
            <w:vAlign w:val="center"/>
          </w:tcPr>
          <w:p w14:paraId="16AB21B9">
            <w:pPr>
              <w:ind w:firstLine="28"/>
              <w:jc w:val="center"/>
              <w:rPr>
                <w:rFonts w:eastAsia="仿宋"/>
                <w:color w:val="000000"/>
                <w:sz w:val="24"/>
              </w:rPr>
            </w:pPr>
            <w:r>
              <w:rPr>
                <w:rFonts w:eastAsia="仿宋"/>
                <w:color w:val="000000"/>
                <w:sz w:val="24"/>
              </w:rPr>
              <w:t>磋商报价</w:t>
            </w:r>
          </w:p>
          <w:p w14:paraId="17D605C6">
            <w:pPr>
              <w:ind w:firstLine="28"/>
              <w:jc w:val="center"/>
              <w:rPr>
                <w:rFonts w:eastAsia="仿宋"/>
                <w:color w:val="000000"/>
                <w:sz w:val="24"/>
              </w:rPr>
            </w:pPr>
            <w:r>
              <w:rPr>
                <w:rFonts w:eastAsia="仿宋"/>
                <w:color w:val="000000"/>
                <w:sz w:val="24"/>
              </w:rPr>
              <w:t>（10%）</w:t>
            </w:r>
          </w:p>
        </w:tc>
        <w:tc>
          <w:tcPr>
            <w:tcW w:w="765" w:type="dxa"/>
            <w:tcBorders>
              <w:left w:val="nil"/>
            </w:tcBorders>
            <w:vAlign w:val="center"/>
          </w:tcPr>
          <w:p w14:paraId="72C4CCB2">
            <w:pPr>
              <w:ind w:firstLine="28"/>
              <w:jc w:val="center"/>
              <w:rPr>
                <w:rFonts w:eastAsia="仿宋"/>
                <w:color w:val="000000"/>
                <w:sz w:val="24"/>
              </w:rPr>
            </w:pPr>
            <w:r>
              <w:rPr>
                <w:rFonts w:eastAsia="仿宋"/>
                <w:color w:val="000000"/>
                <w:sz w:val="24"/>
              </w:rPr>
              <w:t>10分</w:t>
            </w:r>
          </w:p>
        </w:tc>
        <w:tc>
          <w:tcPr>
            <w:tcW w:w="3690" w:type="dxa"/>
            <w:tcBorders>
              <w:left w:val="nil"/>
            </w:tcBorders>
            <w:vAlign w:val="center"/>
          </w:tcPr>
          <w:p w14:paraId="52384DBB">
            <w:pPr>
              <w:rPr>
                <w:rFonts w:eastAsia="仿宋"/>
                <w:color w:val="000000"/>
                <w:sz w:val="24"/>
              </w:rPr>
            </w:pPr>
            <w:r>
              <w:rPr>
                <w:rFonts w:eastAsia="仿宋"/>
                <w:color w:val="000000"/>
                <w:sz w:val="24"/>
              </w:rPr>
              <w:t>价格分采用低价优先法计算，即满足磋商文件要求且磋商小组磋商报价最低的供应商的价格为磋商基准价，其价格分为10分。</w:t>
            </w:r>
          </w:p>
          <w:p w14:paraId="0A9E60DE">
            <w:pPr>
              <w:rPr>
                <w:rFonts w:eastAsia="仿宋"/>
                <w:color w:val="000000"/>
                <w:sz w:val="24"/>
              </w:rPr>
            </w:pPr>
            <w:r>
              <w:rPr>
                <w:rFonts w:eastAsia="仿宋"/>
                <w:color w:val="000000"/>
                <w:sz w:val="24"/>
              </w:rPr>
              <w:t>磋商报价得分＝（磋商基准价/磋商报价）×10（按四舍五入法保留两位小数）</w:t>
            </w:r>
          </w:p>
        </w:tc>
        <w:tc>
          <w:tcPr>
            <w:tcW w:w="1956" w:type="dxa"/>
            <w:tcBorders>
              <w:left w:val="nil"/>
            </w:tcBorders>
            <w:vAlign w:val="center"/>
          </w:tcPr>
          <w:p w14:paraId="68B1B591">
            <w:pPr>
              <w:ind w:left="-38"/>
              <w:rPr>
                <w:rFonts w:eastAsia="仿宋"/>
                <w:sz w:val="24"/>
              </w:rPr>
            </w:pPr>
          </w:p>
        </w:tc>
        <w:tc>
          <w:tcPr>
            <w:tcW w:w="954" w:type="dxa"/>
            <w:tcBorders>
              <w:left w:val="nil"/>
            </w:tcBorders>
            <w:vAlign w:val="center"/>
          </w:tcPr>
          <w:p w14:paraId="451D45D8">
            <w:pPr>
              <w:ind w:left="-38"/>
              <w:rPr>
                <w:rFonts w:eastAsia="仿宋"/>
                <w:sz w:val="24"/>
              </w:rPr>
            </w:pPr>
          </w:p>
        </w:tc>
      </w:tr>
      <w:tr w14:paraId="7FFC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1302" w:type="dxa"/>
            <w:vMerge w:val="restart"/>
            <w:tcBorders>
              <w:top w:val="single" w:color="auto" w:sz="4" w:space="0"/>
              <w:left w:val="single" w:color="auto" w:sz="4" w:space="0"/>
              <w:bottom w:val="single" w:color="auto" w:sz="4" w:space="0"/>
            </w:tcBorders>
            <w:vAlign w:val="center"/>
          </w:tcPr>
          <w:p w14:paraId="0F83F372">
            <w:pPr>
              <w:ind w:firstLine="28"/>
              <w:jc w:val="center"/>
              <w:rPr>
                <w:rFonts w:eastAsia="仿宋"/>
                <w:color w:val="000000"/>
                <w:sz w:val="24"/>
              </w:rPr>
            </w:pPr>
            <w:r>
              <w:rPr>
                <w:rFonts w:eastAsia="仿宋"/>
                <w:color w:val="000000"/>
                <w:sz w:val="24"/>
              </w:rPr>
              <w:t>技术部分</w:t>
            </w:r>
          </w:p>
          <w:p w14:paraId="5199614E">
            <w:pPr>
              <w:ind w:firstLine="28"/>
              <w:jc w:val="center"/>
              <w:rPr>
                <w:rFonts w:eastAsia="仿宋"/>
                <w:color w:val="000000"/>
                <w:sz w:val="24"/>
              </w:rPr>
            </w:pPr>
            <w:r>
              <w:rPr>
                <w:rFonts w:eastAsia="仿宋"/>
                <w:color w:val="000000"/>
                <w:sz w:val="24"/>
              </w:rPr>
              <w:t>（50%）</w:t>
            </w:r>
          </w:p>
        </w:tc>
        <w:tc>
          <w:tcPr>
            <w:tcW w:w="765" w:type="dxa"/>
            <w:tcBorders>
              <w:top w:val="nil"/>
              <w:left w:val="nil"/>
            </w:tcBorders>
            <w:vAlign w:val="center"/>
          </w:tcPr>
          <w:p w14:paraId="5409319C">
            <w:pPr>
              <w:ind w:firstLine="28"/>
              <w:jc w:val="center"/>
              <w:rPr>
                <w:rFonts w:eastAsia="仿宋"/>
                <w:sz w:val="24"/>
              </w:rPr>
            </w:pPr>
            <w:r>
              <w:rPr>
                <w:rFonts w:eastAsia="仿宋"/>
                <w:sz w:val="24"/>
              </w:rPr>
              <w:t>20分</w:t>
            </w:r>
          </w:p>
        </w:tc>
        <w:tc>
          <w:tcPr>
            <w:tcW w:w="3690" w:type="dxa"/>
            <w:tcBorders>
              <w:left w:val="nil"/>
            </w:tcBorders>
            <w:vAlign w:val="center"/>
          </w:tcPr>
          <w:p w14:paraId="51B958F6">
            <w:pPr>
              <w:spacing w:line="240" w:lineRule="atLeast"/>
              <w:ind w:firstLine="28"/>
              <w:jc w:val="left"/>
              <w:rPr>
                <w:rFonts w:eastAsia="仿宋"/>
                <w:b/>
                <w:bCs/>
                <w:color w:val="000000"/>
                <w:kern w:val="0"/>
                <w:sz w:val="24"/>
                <w:lang w:val="zh-CN"/>
              </w:rPr>
            </w:pPr>
            <w:r>
              <w:rPr>
                <w:rFonts w:eastAsia="仿宋"/>
                <w:b/>
                <w:bCs/>
                <w:color w:val="000000"/>
                <w:kern w:val="0"/>
                <w:sz w:val="24"/>
                <w:lang w:val="zh-CN"/>
              </w:rPr>
              <w:t>整体策划及实施方案（满分</w:t>
            </w:r>
            <w:r>
              <w:rPr>
                <w:rFonts w:eastAsia="仿宋"/>
                <w:b/>
                <w:bCs/>
                <w:color w:val="000000"/>
                <w:kern w:val="0"/>
                <w:sz w:val="24"/>
              </w:rPr>
              <w:t>20分</w:t>
            </w:r>
            <w:r>
              <w:rPr>
                <w:rFonts w:eastAsia="仿宋"/>
                <w:b/>
                <w:bCs/>
                <w:color w:val="000000"/>
                <w:kern w:val="0"/>
                <w:sz w:val="24"/>
                <w:lang w:val="zh-CN"/>
              </w:rPr>
              <w:t>）</w:t>
            </w:r>
          </w:p>
          <w:p w14:paraId="564481A7">
            <w:pPr>
              <w:widowControl/>
            </w:pPr>
            <w:r>
              <w:rPr>
                <w:rFonts w:eastAsia="仿宋"/>
                <w:color w:val="000000"/>
                <w:sz w:val="24"/>
                <w:lang w:val="zh-CN"/>
              </w:rPr>
              <w:t>针对本项目制定整体策划及实施方案，根据供应商提供的整体策划及实施方案的完整性、合理性、可操作性、创意创新进行打分。科学、可行、针对性强得</w:t>
            </w:r>
            <w:r>
              <w:rPr>
                <w:rFonts w:eastAsia="仿宋"/>
                <w:color w:val="000000"/>
                <w:sz w:val="24"/>
              </w:rPr>
              <w:t>20</w:t>
            </w:r>
            <w:r>
              <w:rPr>
                <w:rFonts w:eastAsia="仿宋"/>
                <w:color w:val="000000"/>
                <w:sz w:val="24"/>
                <w:lang w:val="zh-CN"/>
              </w:rPr>
              <w:t>分；合理、可行、细节</w:t>
            </w:r>
            <w:r>
              <w:rPr>
                <w:rFonts w:hint="eastAsia" w:eastAsia="仿宋"/>
                <w:color w:val="000000"/>
                <w:sz w:val="24"/>
              </w:rPr>
              <w:t>有</w:t>
            </w:r>
            <w:r>
              <w:rPr>
                <w:rFonts w:eastAsia="仿宋"/>
                <w:color w:val="000000"/>
                <w:sz w:val="24"/>
                <w:lang w:val="zh-CN"/>
              </w:rPr>
              <w:t>待完善得</w:t>
            </w:r>
            <w:r>
              <w:rPr>
                <w:rFonts w:eastAsia="仿宋"/>
                <w:color w:val="000000"/>
                <w:sz w:val="24"/>
              </w:rPr>
              <w:t>1</w:t>
            </w:r>
            <w:r>
              <w:rPr>
                <w:rFonts w:hint="eastAsia" w:eastAsia="仿宋"/>
                <w:color w:val="000000"/>
                <w:sz w:val="24"/>
              </w:rPr>
              <w:t>5</w:t>
            </w:r>
            <w:r>
              <w:rPr>
                <w:rFonts w:eastAsia="仿宋"/>
                <w:color w:val="000000"/>
                <w:sz w:val="24"/>
                <w:lang w:val="zh-CN"/>
              </w:rPr>
              <w:t>分；欠合理，可行性较差，基本满足项目需要得</w:t>
            </w:r>
            <w:r>
              <w:rPr>
                <w:rFonts w:hint="eastAsia" w:eastAsia="仿宋"/>
                <w:color w:val="000000"/>
                <w:sz w:val="24"/>
              </w:rPr>
              <w:t>10</w:t>
            </w:r>
            <w:r>
              <w:rPr>
                <w:rFonts w:eastAsia="仿宋"/>
                <w:color w:val="000000"/>
                <w:sz w:val="24"/>
                <w:lang w:val="zh-CN"/>
              </w:rPr>
              <w:t>分，不合理、不具备可行性、细节差得</w:t>
            </w:r>
            <w:r>
              <w:rPr>
                <w:rFonts w:hint="eastAsia" w:eastAsia="仿宋"/>
                <w:color w:val="000000"/>
                <w:sz w:val="24"/>
              </w:rPr>
              <w:t>5</w:t>
            </w:r>
            <w:r>
              <w:rPr>
                <w:rFonts w:eastAsia="仿宋"/>
                <w:color w:val="000000"/>
                <w:sz w:val="24"/>
                <w:lang w:val="zh-CN"/>
              </w:rPr>
              <w:t>分；</w:t>
            </w:r>
            <w:r>
              <w:rPr>
                <w:rFonts w:eastAsia="仿宋"/>
                <w:color w:val="000000"/>
                <w:sz w:val="24"/>
              </w:rPr>
              <w:t>未提供不得</w:t>
            </w:r>
            <w:r>
              <w:rPr>
                <w:rFonts w:eastAsia="仿宋"/>
                <w:color w:val="000000"/>
                <w:sz w:val="24"/>
                <w:lang w:val="zh-CN"/>
              </w:rPr>
              <w:t>分。</w:t>
            </w:r>
          </w:p>
        </w:tc>
        <w:tc>
          <w:tcPr>
            <w:tcW w:w="1956" w:type="dxa"/>
            <w:vMerge w:val="restart"/>
            <w:tcBorders>
              <w:top w:val="nil"/>
              <w:left w:val="nil"/>
            </w:tcBorders>
            <w:vAlign w:val="center"/>
          </w:tcPr>
          <w:p w14:paraId="45134103">
            <w:pPr>
              <w:jc w:val="left"/>
              <w:rPr>
                <w:rFonts w:eastAsia="仿宋"/>
                <w:sz w:val="24"/>
              </w:rPr>
            </w:pPr>
            <w:r>
              <w:rPr>
                <w:rFonts w:eastAsia="仿宋"/>
                <w:sz w:val="24"/>
              </w:rPr>
              <w:t>提供书面方案进行评审。</w:t>
            </w:r>
          </w:p>
        </w:tc>
        <w:tc>
          <w:tcPr>
            <w:tcW w:w="954" w:type="dxa"/>
            <w:tcBorders>
              <w:top w:val="nil"/>
              <w:left w:val="nil"/>
            </w:tcBorders>
            <w:vAlign w:val="center"/>
          </w:tcPr>
          <w:p w14:paraId="06709AF0">
            <w:pPr>
              <w:jc w:val="left"/>
              <w:rPr>
                <w:rFonts w:eastAsia="仿宋"/>
                <w:sz w:val="24"/>
              </w:rPr>
            </w:pPr>
          </w:p>
        </w:tc>
      </w:tr>
      <w:tr w14:paraId="2EBF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02" w:type="dxa"/>
            <w:vMerge w:val="continue"/>
            <w:tcBorders>
              <w:top w:val="single" w:color="auto" w:sz="4" w:space="0"/>
              <w:left w:val="single" w:color="auto" w:sz="4" w:space="0"/>
              <w:bottom w:val="single" w:color="auto" w:sz="4" w:space="0"/>
            </w:tcBorders>
            <w:vAlign w:val="center"/>
          </w:tcPr>
          <w:p w14:paraId="1F24AD7C">
            <w:pPr>
              <w:ind w:firstLine="28"/>
              <w:jc w:val="center"/>
              <w:rPr>
                <w:rFonts w:eastAsia="仿宋"/>
                <w:color w:val="000000"/>
                <w:sz w:val="24"/>
              </w:rPr>
            </w:pPr>
          </w:p>
        </w:tc>
        <w:tc>
          <w:tcPr>
            <w:tcW w:w="765" w:type="dxa"/>
            <w:tcBorders>
              <w:top w:val="nil"/>
              <w:left w:val="nil"/>
              <w:bottom w:val="single" w:color="auto" w:sz="4" w:space="0"/>
            </w:tcBorders>
            <w:vAlign w:val="center"/>
          </w:tcPr>
          <w:p w14:paraId="42D7C703">
            <w:pPr>
              <w:ind w:firstLine="28"/>
              <w:jc w:val="center"/>
              <w:rPr>
                <w:rFonts w:eastAsia="仿宋"/>
                <w:sz w:val="24"/>
              </w:rPr>
            </w:pPr>
            <w:r>
              <w:rPr>
                <w:rFonts w:eastAsia="仿宋"/>
                <w:sz w:val="24"/>
              </w:rPr>
              <w:t>20分</w:t>
            </w:r>
          </w:p>
        </w:tc>
        <w:tc>
          <w:tcPr>
            <w:tcW w:w="3690" w:type="dxa"/>
            <w:tcBorders>
              <w:left w:val="nil"/>
              <w:bottom w:val="single" w:color="auto" w:sz="4" w:space="0"/>
            </w:tcBorders>
            <w:vAlign w:val="center"/>
          </w:tcPr>
          <w:p w14:paraId="7376BDB0">
            <w:pPr>
              <w:widowControl/>
              <w:rPr>
                <w:rFonts w:eastAsia="仿宋"/>
                <w:b/>
                <w:bCs/>
                <w:kern w:val="0"/>
                <w:sz w:val="24"/>
              </w:rPr>
            </w:pPr>
            <w:r>
              <w:rPr>
                <w:rFonts w:hint="eastAsia" w:eastAsia="仿宋"/>
                <w:b/>
                <w:bCs/>
                <w:kern w:val="0"/>
                <w:sz w:val="24"/>
              </w:rPr>
              <w:t>现场设计布置方案</w:t>
            </w:r>
            <w:r>
              <w:rPr>
                <w:rFonts w:eastAsia="仿宋"/>
                <w:b/>
                <w:bCs/>
                <w:kern w:val="0"/>
                <w:sz w:val="24"/>
              </w:rPr>
              <w:t>（满分20分）</w:t>
            </w:r>
          </w:p>
          <w:p w14:paraId="5B88FB02">
            <w:pPr>
              <w:widowControl/>
              <w:rPr>
                <w:rFonts w:eastAsia="仿宋"/>
                <w:color w:val="000000"/>
                <w:sz w:val="24"/>
                <w:lang w:val="zh-CN"/>
              </w:rPr>
            </w:pPr>
            <w:r>
              <w:rPr>
                <w:rFonts w:eastAsia="仿宋"/>
                <w:color w:val="000000"/>
                <w:sz w:val="24"/>
                <w:lang w:val="zh-CN"/>
              </w:rPr>
              <w:t>投标人根据项目服务需求中的描述，对</w:t>
            </w:r>
            <w:r>
              <w:rPr>
                <w:rFonts w:eastAsia="仿宋"/>
                <w:color w:val="000000"/>
                <w:sz w:val="24"/>
              </w:rPr>
              <w:t>现场效果及物料</w:t>
            </w:r>
            <w:r>
              <w:rPr>
                <w:rFonts w:eastAsia="仿宋"/>
                <w:color w:val="000000"/>
                <w:sz w:val="24"/>
                <w:lang w:val="zh-CN"/>
              </w:rPr>
              <w:t>进行设计。</w:t>
            </w:r>
          </w:p>
          <w:p w14:paraId="7CB8ED99">
            <w:pPr>
              <w:widowControl/>
              <w:rPr>
                <w:rFonts w:eastAsia="仿宋"/>
                <w:color w:val="000000"/>
                <w:sz w:val="24"/>
                <w:lang w:val="zh-CN"/>
              </w:rPr>
            </w:pPr>
            <w:r>
              <w:rPr>
                <w:rFonts w:eastAsia="仿宋"/>
                <w:color w:val="000000"/>
                <w:sz w:val="24"/>
                <w:lang w:val="zh-CN"/>
              </w:rPr>
              <w:t>1.根据设计方案内容的完整性进行打分，设计方案内容完整性优得</w:t>
            </w:r>
            <w:r>
              <w:rPr>
                <w:rFonts w:hint="eastAsia" w:eastAsia="仿宋"/>
                <w:color w:val="000000"/>
                <w:sz w:val="24"/>
              </w:rPr>
              <w:t>10</w:t>
            </w:r>
            <w:r>
              <w:rPr>
                <w:rFonts w:eastAsia="仿宋"/>
                <w:color w:val="000000"/>
                <w:sz w:val="24"/>
                <w:lang w:val="zh-CN"/>
              </w:rPr>
              <w:t>分，设计方案内容完整性良得</w:t>
            </w:r>
            <w:r>
              <w:rPr>
                <w:rFonts w:hint="eastAsia" w:eastAsia="仿宋"/>
                <w:color w:val="000000"/>
                <w:sz w:val="24"/>
              </w:rPr>
              <w:t>7</w:t>
            </w:r>
            <w:r>
              <w:rPr>
                <w:rFonts w:eastAsia="仿宋"/>
                <w:color w:val="000000"/>
                <w:sz w:val="24"/>
                <w:lang w:val="zh-CN"/>
              </w:rPr>
              <w:t>分，设计方案内容完整性一般得</w:t>
            </w:r>
            <w:r>
              <w:rPr>
                <w:rFonts w:hint="eastAsia" w:eastAsia="仿宋"/>
                <w:color w:val="000000"/>
                <w:sz w:val="24"/>
              </w:rPr>
              <w:t>4</w:t>
            </w:r>
            <w:r>
              <w:rPr>
                <w:rFonts w:eastAsia="仿宋"/>
                <w:color w:val="000000"/>
                <w:sz w:val="24"/>
                <w:lang w:val="zh-CN"/>
              </w:rPr>
              <w:t>分，设计方案内容完整性差得1分，未提供不得分。</w:t>
            </w:r>
          </w:p>
          <w:p w14:paraId="50B59649">
            <w:pPr>
              <w:widowControl/>
              <w:rPr>
                <w:rFonts w:eastAsia="仿宋"/>
                <w:b/>
                <w:bCs/>
                <w:sz w:val="24"/>
              </w:rPr>
            </w:pPr>
            <w:r>
              <w:rPr>
                <w:rFonts w:eastAsia="仿宋"/>
                <w:color w:val="000000"/>
                <w:sz w:val="24"/>
                <w:lang w:val="zh-CN"/>
              </w:rPr>
              <w:t>2.设计紧扣主题、新颖具有创意。设计紧扣主题、新颖具有创意得</w:t>
            </w:r>
            <w:r>
              <w:rPr>
                <w:rFonts w:eastAsia="仿宋"/>
                <w:color w:val="000000"/>
                <w:sz w:val="24"/>
              </w:rPr>
              <w:t>10</w:t>
            </w:r>
            <w:r>
              <w:rPr>
                <w:rFonts w:eastAsia="仿宋"/>
                <w:color w:val="000000"/>
                <w:sz w:val="24"/>
                <w:lang w:val="zh-CN"/>
              </w:rPr>
              <w:t>分；设计紧扣主题、新颖一般创意一般得</w:t>
            </w:r>
            <w:r>
              <w:rPr>
                <w:rFonts w:hint="eastAsia" w:eastAsia="仿宋"/>
                <w:color w:val="000000"/>
                <w:sz w:val="24"/>
              </w:rPr>
              <w:t>7</w:t>
            </w:r>
            <w:r>
              <w:rPr>
                <w:rFonts w:eastAsia="仿宋"/>
                <w:color w:val="000000"/>
                <w:sz w:val="24"/>
                <w:lang w:val="zh-CN"/>
              </w:rPr>
              <w:t>分；设计扣主题一</w:t>
            </w:r>
            <w:bookmarkStart w:id="0" w:name="_GoBack"/>
            <w:r>
              <w:rPr>
                <w:rFonts w:eastAsia="仿宋"/>
                <w:color w:val="000000"/>
                <w:sz w:val="24"/>
                <w:lang w:val="zh-CN"/>
              </w:rPr>
              <w:t>般、新颖</w:t>
            </w:r>
            <w:bookmarkEnd w:id="0"/>
            <w:r>
              <w:rPr>
                <w:rFonts w:eastAsia="仿宋"/>
                <w:color w:val="000000"/>
                <w:sz w:val="24"/>
                <w:lang w:val="zh-CN"/>
              </w:rPr>
              <w:t>一般创意一般得</w:t>
            </w:r>
            <w:r>
              <w:rPr>
                <w:rFonts w:hint="eastAsia" w:eastAsia="仿宋"/>
                <w:color w:val="000000"/>
                <w:sz w:val="24"/>
              </w:rPr>
              <w:t>4</w:t>
            </w:r>
            <w:r>
              <w:rPr>
                <w:rFonts w:eastAsia="仿宋"/>
                <w:color w:val="000000"/>
                <w:sz w:val="24"/>
                <w:lang w:val="zh-CN"/>
              </w:rPr>
              <w:t>分，设计不扣主题、不新颖不具有创意得1分，未满足不得分。</w:t>
            </w:r>
          </w:p>
        </w:tc>
        <w:tc>
          <w:tcPr>
            <w:tcW w:w="1956" w:type="dxa"/>
            <w:vMerge w:val="continue"/>
            <w:tcBorders>
              <w:left w:val="nil"/>
              <w:bottom w:val="single" w:color="auto" w:sz="4" w:space="0"/>
            </w:tcBorders>
            <w:vAlign w:val="center"/>
          </w:tcPr>
          <w:p w14:paraId="68FA71B4">
            <w:pPr>
              <w:jc w:val="left"/>
              <w:rPr>
                <w:rFonts w:eastAsia="仿宋"/>
                <w:color w:val="FF0000"/>
                <w:sz w:val="24"/>
              </w:rPr>
            </w:pPr>
          </w:p>
        </w:tc>
        <w:tc>
          <w:tcPr>
            <w:tcW w:w="954" w:type="dxa"/>
            <w:tcBorders>
              <w:left w:val="nil"/>
              <w:bottom w:val="single" w:color="auto" w:sz="4" w:space="0"/>
            </w:tcBorders>
            <w:vAlign w:val="center"/>
          </w:tcPr>
          <w:p w14:paraId="05A6D3F9">
            <w:pPr>
              <w:jc w:val="left"/>
              <w:rPr>
                <w:rFonts w:eastAsia="仿宋"/>
                <w:color w:val="FF0000"/>
                <w:sz w:val="24"/>
              </w:rPr>
            </w:pPr>
          </w:p>
        </w:tc>
      </w:tr>
      <w:tr w14:paraId="6F6A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302" w:type="dxa"/>
            <w:vMerge w:val="continue"/>
            <w:tcBorders>
              <w:top w:val="single" w:color="auto" w:sz="4" w:space="0"/>
              <w:left w:val="single" w:color="auto" w:sz="4" w:space="0"/>
              <w:bottom w:val="single" w:color="auto" w:sz="4" w:space="0"/>
              <w:right w:val="single" w:color="auto" w:sz="4" w:space="0"/>
            </w:tcBorders>
            <w:vAlign w:val="center"/>
          </w:tcPr>
          <w:p w14:paraId="220C7A34">
            <w:pPr>
              <w:widowControl/>
            </w:pPr>
          </w:p>
        </w:tc>
        <w:tc>
          <w:tcPr>
            <w:tcW w:w="765" w:type="dxa"/>
            <w:tcBorders>
              <w:top w:val="single" w:color="auto" w:sz="4" w:space="0"/>
              <w:left w:val="single" w:color="auto" w:sz="4" w:space="0"/>
              <w:bottom w:val="single" w:color="auto" w:sz="4" w:space="0"/>
              <w:right w:val="single" w:color="auto" w:sz="4" w:space="0"/>
            </w:tcBorders>
            <w:vAlign w:val="center"/>
          </w:tcPr>
          <w:p w14:paraId="55B49BFC">
            <w:pPr>
              <w:widowControl/>
              <w:rPr>
                <w:rFonts w:eastAsia="仿宋"/>
                <w:sz w:val="24"/>
              </w:rPr>
            </w:pPr>
            <w:r>
              <w:rPr>
                <w:rFonts w:eastAsia="仿宋"/>
                <w:sz w:val="24"/>
              </w:rPr>
              <w:t>10分</w:t>
            </w:r>
          </w:p>
        </w:tc>
        <w:tc>
          <w:tcPr>
            <w:tcW w:w="3690" w:type="dxa"/>
            <w:tcBorders>
              <w:top w:val="single" w:color="auto" w:sz="4" w:space="0"/>
              <w:left w:val="single" w:color="auto" w:sz="4" w:space="0"/>
              <w:bottom w:val="single" w:color="auto" w:sz="4" w:space="0"/>
              <w:right w:val="single" w:color="auto" w:sz="4" w:space="0"/>
            </w:tcBorders>
            <w:vAlign w:val="center"/>
          </w:tcPr>
          <w:p w14:paraId="1BAB8C85">
            <w:pPr>
              <w:widowControl/>
              <w:rPr>
                <w:rFonts w:eastAsia="仿宋"/>
                <w:b/>
                <w:bCs/>
                <w:color w:val="000000"/>
                <w:sz w:val="24"/>
              </w:rPr>
            </w:pPr>
            <w:r>
              <w:rPr>
                <w:rFonts w:eastAsia="仿宋"/>
                <w:b/>
                <w:bCs/>
                <w:color w:val="000000"/>
                <w:sz w:val="24"/>
              </w:rPr>
              <w:t>后勤保障方案（10分）</w:t>
            </w:r>
          </w:p>
          <w:p w14:paraId="040065E5">
            <w:pPr>
              <w:widowControl/>
              <w:rPr>
                <w:rFonts w:eastAsia="仿宋"/>
                <w:color w:val="000000"/>
                <w:sz w:val="24"/>
              </w:rPr>
            </w:pPr>
            <w:r>
              <w:rPr>
                <w:rFonts w:eastAsia="仿宋"/>
                <w:color w:val="000000"/>
                <w:sz w:val="24"/>
                <w:lang w:val="zh-CN"/>
              </w:rPr>
              <w:t>投标人根据</w:t>
            </w:r>
            <w:r>
              <w:rPr>
                <w:rFonts w:eastAsia="仿宋"/>
                <w:color w:val="000000"/>
                <w:sz w:val="24"/>
              </w:rPr>
              <w:t>本项目制定后勤保障方案，包含安保</w:t>
            </w:r>
            <w:r>
              <w:rPr>
                <w:rFonts w:hint="eastAsia" w:eastAsia="仿宋"/>
                <w:color w:val="000000"/>
                <w:sz w:val="24"/>
              </w:rPr>
              <w:t>、应急</w:t>
            </w:r>
            <w:r>
              <w:rPr>
                <w:rFonts w:eastAsia="仿宋"/>
                <w:color w:val="000000"/>
                <w:sz w:val="24"/>
              </w:rPr>
              <w:t>等。</w:t>
            </w:r>
          </w:p>
          <w:p w14:paraId="5424E4AC">
            <w:pPr>
              <w:widowControl/>
              <w:rPr>
                <w:rFonts w:eastAsia="仿宋"/>
                <w:color w:val="000000"/>
                <w:sz w:val="24"/>
              </w:rPr>
            </w:pPr>
            <w:r>
              <w:rPr>
                <w:rFonts w:eastAsia="仿宋"/>
                <w:color w:val="000000"/>
                <w:sz w:val="24"/>
              </w:rPr>
              <w:t>1.方案包含但不限于安全保障</w:t>
            </w:r>
            <w:r>
              <w:rPr>
                <w:rFonts w:hint="eastAsia" w:eastAsia="仿宋"/>
                <w:color w:val="000000"/>
                <w:sz w:val="24"/>
              </w:rPr>
              <w:t>和应急预案</w:t>
            </w:r>
            <w:r>
              <w:rPr>
                <w:rFonts w:eastAsia="仿宋"/>
                <w:color w:val="000000"/>
                <w:sz w:val="24"/>
              </w:rPr>
              <w:t>等内容，2项全部提供得4分，缺1项扣2分，未提供不得分。</w:t>
            </w:r>
          </w:p>
          <w:p w14:paraId="26E8C952">
            <w:pPr>
              <w:widowControl/>
              <w:rPr>
                <w:rFonts w:eastAsia="仿宋"/>
                <w:color w:val="000000"/>
                <w:sz w:val="24"/>
              </w:rPr>
            </w:pPr>
            <w:r>
              <w:rPr>
                <w:rFonts w:eastAsia="仿宋"/>
                <w:color w:val="000000"/>
                <w:sz w:val="24"/>
              </w:rPr>
              <w:t>2.后勤保障方案</w:t>
            </w:r>
            <w:r>
              <w:rPr>
                <w:rFonts w:hint="eastAsia" w:eastAsia="仿宋"/>
                <w:color w:val="000000"/>
                <w:sz w:val="24"/>
              </w:rPr>
              <w:t>和应急预案</w:t>
            </w:r>
            <w:r>
              <w:rPr>
                <w:rFonts w:eastAsia="仿宋"/>
                <w:color w:val="000000"/>
                <w:sz w:val="24"/>
              </w:rPr>
              <w:t>完整性、可行性强得</w:t>
            </w:r>
            <w:r>
              <w:rPr>
                <w:rFonts w:hint="eastAsia" w:eastAsia="仿宋"/>
                <w:color w:val="000000"/>
                <w:sz w:val="24"/>
              </w:rPr>
              <w:t>6</w:t>
            </w:r>
            <w:r>
              <w:rPr>
                <w:rFonts w:eastAsia="仿宋"/>
                <w:color w:val="000000"/>
                <w:sz w:val="24"/>
              </w:rPr>
              <w:t>分，完整性、可行性一般得3分，完整性、可行性差得1分，未提供不得分。</w:t>
            </w:r>
          </w:p>
        </w:tc>
        <w:tc>
          <w:tcPr>
            <w:tcW w:w="1956" w:type="dxa"/>
            <w:vMerge w:val="continue"/>
            <w:tcBorders>
              <w:top w:val="single" w:color="auto" w:sz="4" w:space="0"/>
              <w:left w:val="single" w:color="auto" w:sz="4" w:space="0"/>
              <w:bottom w:val="single" w:color="auto" w:sz="4" w:space="0"/>
              <w:right w:val="single" w:color="auto" w:sz="4" w:space="0"/>
            </w:tcBorders>
            <w:vAlign w:val="center"/>
          </w:tcPr>
          <w:p w14:paraId="2A676728">
            <w:pPr>
              <w:widowControl/>
              <w:rPr>
                <w:rFonts w:eastAsia="仿宋"/>
                <w:color w:val="000000"/>
                <w:sz w:val="24"/>
              </w:rPr>
            </w:pPr>
          </w:p>
        </w:tc>
        <w:tc>
          <w:tcPr>
            <w:tcW w:w="954" w:type="dxa"/>
            <w:tcBorders>
              <w:top w:val="single" w:color="auto" w:sz="4" w:space="0"/>
              <w:left w:val="single" w:color="auto" w:sz="4" w:space="0"/>
              <w:bottom w:val="single" w:color="auto" w:sz="4" w:space="0"/>
            </w:tcBorders>
            <w:vAlign w:val="center"/>
          </w:tcPr>
          <w:p w14:paraId="4CC3AA04">
            <w:pPr>
              <w:widowControl/>
              <w:rPr>
                <w:rFonts w:eastAsia="仿宋"/>
                <w:sz w:val="24"/>
              </w:rPr>
            </w:pPr>
          </w:p>
        </w:tc>
      </w:tr>
      <w:tr w14:paraId="2523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trPr>
        <w:tc>
          <w:tcPr>
            <w:tcW w:w="1302" w:type="dxa"/>
            <w:vMerge w:val="restart"/>
            <w:tcBorders>
              <w:top w:val="single" w:color="auto" w:sz="4" w:space="0"/>
              <w:left w:val="single" w:color="auto" w:sz="4" w:space="0"/>
            </w:tcBorders>
            <w:vAlign w:val="center"/>
          </w:tcPr>
          <w:p w14:paraId="26792A3A">
            <w:pPr>
              <w:ind w:firstLine="28"/>
              <w:jc w:val="center"/>
              <w:rPr>
                <w:rFonts w:eastAsia="仿宋"/>
                <w:sz w:val="24"/>
              </w:rPr>
            </w:pPr>
            <w:r>
              <w:rPr>
                <w:rFonts w:eastAsia="仿宋"/>
                <w:sz w:val="24"/>
              </w:rPr>
              <w:t>商务部分</w:t>
            </w:r>
          </w:p>
          <w:p w14:paraId="1BA01B08">
            <w:pPr>
              <w:ind w:firstLine="28"/>
              <w:jc w:val="center"/>
              <w:rPr>
                <w:rFonts w:eastAsia="仿宋"/>
                <w:sz w:val="24"/>
              </w:rPr>
            </w:pPr>
            <w:r>
              <w:rPr>
                <w:rFonts w:eastAsia="仿宋"/>
                <w:sz w:val="24"/>
              </w:rPr>
              <w:t>（40%）</w:t>
            </w:r>
          </w:p>
        </w:tc>
        <w:tc>
          <w:tcPr>
            <w:tcW w:w="765" w:type="dxa"/>
            <w:tcBorders>
              <w:top w:val="single" w:color="auto" w:sz="4" w:space="0"/>
              <w:left w:val="nil"/>
              <w:right w:val="single" w:color="auto" w:sz="4" w:space="0"/>
            </w:tcBorders>
            <w:vAlign w:val="center"/>
          </w:tcPr>
          <w:p w14:paraId="7CCEAEAD">
            <w:pPr>
              <w:rPr>
                <w:rFonts w:eastAsia="仿宋"/>
                <w:color w:val="000000"/>
                <w:sz w:val="24"/>
              </w:rPr>
            </w:pPr>
            <w:r>
              <w:rPr>
                <w:rFonts w:hint="eastAsia" w:eastAsia="仿宋"/>
                <w:color w:val="000000"/>
                <w:sz w:val="24"/>
              </w:rPr>
              <w:t>6</w:t>
            </w:r>
            <w:r>
              <w:rPr>
                <w:rFonts w:eastAsia="仿宋"/>
                <w:color w:val="000000"/>
                <w:sz w:val="24"/>
              </w:rPr>
              <w:t>分</w:t>
            </w:r>
          </w:p>
        </w:tc>
        <w:tc>
          <w:tcPr>
            <w:tcW w:w="3690" w:type="dxa"/>
            <w:tcBorders>
              <w:top w:val="single" w:color="auto" w:sz="4" w:space="0"/>
              <w:left w:val="single" w:color="auto" w:sz="4" w:space="0"/>
            </w:tcBorders>
            <w:vAlign w:val="center"/>
          </w:tcPr>
          <w:p w14:paraId="3F2E64A9">
            <w:pPr>
              <w:widowControl/>
              <w:rPr>
                <w:rFonts w:eastAsia="仿宋"/>
                <w:b/>
                <w:bCs/>
                <w:color w:val="000000"/>
                <w:sz w:val="24"/>
              </w:rPr>
            </w:pPr>
            <w:r>
              <w:rPr>
                <w:rFonts w:eastAsia="仿宋"/>
                <w:b/>
                <w:bCs/>
                <w:color w:val="000000"/>
                <w:sz w:val="24"/>
              </w:rPr>
              <w:t>认证体系（满分</w:t>
            </w:r>
            <w:r>
              <w:rPr>
                <w:rFonts w:hint="eastAsia" w:eastAsia="仿宋"/>
                <w:b/>
                <w:bCs/>
                <w:color w:val="000000"/>
                <w:sz w:val="24"/>
              </w:rPr>
              <w:t>6</w:t>
            </w:r>
            <w:r>
              <w:rPr>
                <w:rFonts w:eastAsia="仿宋"/>
                <w:b/>
                <w:bCs/>
                <w:color w:val="000000"/>
                <w:sz w:val="24"/>
              </w:rPr>
              <w:t>分）</w:t>
            </w:r>
          </w:p>
          <w:p w14:paraId="7ED40F5E">
            <w:pPr>
              <w:widowControl/>
              <w:rPr>
                <w:rFonts w:eastAsia="仿宋"/>
                <w:color w:val="000000"/>
                <w:sz w:val="24"/>
              </w:rPr>
            </w:pPr>
            <w:r>
              <w:rPr>
                <w:rFonts w:eastAsia="仿宋"/>
                <w:color w:val="000000"/>
                <w:sz w:val="24"/>
              </w:rPr>
              <w:t>1.供应商具有有效的ISO质量管理体系认证的得</w:t>
            </w:r>
            <w:r>
              <w:rPr>
                <w:rFonts w:hint="eastAsia" w:eastAsia="仿宋"/>
                <w:color w:val="000000"/>
                <w:sz w:val="24"/>
              </w:rPr>
              <w:t>2</w:t>
            </w:r>
            <w:r>
              <w:rPr>
                <w:rFonts w:eastAsia="仿宋"/>
                <w:color w:val="000000"/>
                <w:sz w:val="24"/>
              </w:rPr>
              <w:t>分，未提供不得分；</w:t>
            </w:r>
          </w:p>
          <w:p w14:paraId="2EED7DD4">
            <w:pPr>
              <w:widowControl/>
              <w:rPr>
                <w:rFonts w:eastAsia="仿宋"/>
                <w:color w:val="000000"/>
                <w:sz w:val="24"/>
              </w:rPr>
            </w:pPr>
            <w:r>
              <w:rPr>
                <w:rFonts w:eastAsia="仿宋"/>
                <w:color w:val="000000"/>
                <w:sz w:val="24"/>
              </w:rPr>
              <w:t>2.供应商具有有效的ISO环境管理体系认证证书的得</w:t>
            </w:r>
            <w:r>
              <w:rPr>
                <w:rFonts w:hint="eastAsia" w:eastAsia="仿宋"/>
                <w:color w:val="000000"/>
                <w:sz w:val="24"/>
              </w:rPr>
              <w:t>2</w:t>
            </w:r>
            <w:r>
              <w:rPr>
                <w:rFonts w:eastAsia="仿宋"/>
                <w:color w:val="000000"/>
                <w:sz w:val="24"/>
              </w:rPr>
              <w:t>分，未提供不得分；</w:t>
            </w:r>
          </w:p>
          <w:p w14:paraId="4F6B6264">
            <w:pPr>
              <w:widowControl/>
              <w:rPr>
                <w:rFonts w:eastAsia="仿宋"/>
                <w:color w:val="000000"/>
                <w:sz w:val="24"/>
              </w:rPr>
            </w:pPr>
            <w:r>
              <w:rPr>
                <w:rFonts w:eastAsia="仿宋"/>
                <w:color w:val="000000"/>
                <w:sz w:val="24"/>
              </w:rPr>
              <w:t>3.供应商具有有效的</w:t>
            </w:r>
            <w:r>
              <w:rPr>
                <w:rFonts w:hint="eastAsia" w:eastAsia="仿宋"/>
                <w:color w:val="000000"/>
                <w:sz w:val="24"/>
              </w:rPr>
              <w:t>ISO</w:t>
            </w:r>
            <w:r>
              <w:rPr>
                <w:rFonts w:eastAsia="仿宋"/>
                <w:color w:val="000000"/>
                <w:sz w:val="24"/>
              </w:rPr>
              <w:t>职业健康安全管理体系认证证书的得</w:t>
            </w:r>
            <w:r>
              <w:rPr>
                <w:rFonts w:hint="eastAsia" w:eastAsia="仿宋"/>
                <w:color w:val="000000"/>
                <w:sz w:val="24"/>
              </w:rPr>
              <w:t>2</w:t>
            </w:r>
            <w:r>
              <w:rPr>
                <w:rFonts w:eastAsia="仿宋"/>
                <w:color w:val="000000"/>
                <w:sz w:val="24"/>
              </w:rPr>
              <w:t>分，未提供不得分。</w:t>
            </w:r>
          </w:p>
        </w:tc>
        <w:tc>
          <w:tcPr>
            <w:tcW w:w="1956" w:type="dxa"/>
            <w:tcBorders>
              <w:top w:val="single" w:color="auto" w:sz="4" w:space="0"/>
              <w:left w:val="nil"/>
            </w:tcBorders>
            <w:vAlign w:val="center"/>
          </w:tcPr>
          <w:p w14:paraId="23357414">
            <w:pPr>
              <w:widowControl/>
              <w:rPr>
                <w:rFonts w:eastAsia="仿宋"/>
                <w:color w:val="000000"/>
                <w:sz w:val="24"/>
              </w:rPr>
            </w:pPr>
            <w:r>
              <w:rPr>
                <w:rFonts w:eastAsia="仿宋"/>
                <w:color w:val="000000"/>
                <w:sz w:val="24"/>
              </w:rPr>
              <w:t>提供证书复印件，并加盖供应商公章。</w:t>
            </w:r>
          </w:p>
        </w:tc>
        <w:tc>
          <w:tcPr>
            <w:tcW w:w="954" w:type="dxa"/>
            <w:tcBorders>
              <w:top w:val="single" w:color="auto" w:sz="4" w:space="0"/>
              <w:left w:val="nil"/>
            </w:tcBorders>
            <w:vAlign w:val="center"/>
          </w:tcPr>
          <w:p w14:paraId="01BE467B">
            <w:pPr>
              <w:pStyle w:val="2"/>
              <w:rPr>
                <w:rFonts w:eastAsia="仿宋"/>
                <w:kern w:val="2"/>
              </w:rPr>
            </w:pPr>
          </w:p>
        </w:tc>
      </w:tr>
      <w:tr w14:paraId="7577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302" w:type="dxa"/>
            <w:vMerge w:val="continue"/>
            <w:tcBorders>
              <w:left w:val="single" w:color="auto" w:sz="4" w:space="0"/>
            </w:tcBorders>
            <w:vAlign w:val="center"/>
          </w:tcPr>
          <w:p w14:paraId="06FB9823">
            <w:pPr>
              <w:ind w:firstLine="28"/>
              <w:jc w:val="center"/>
              <w:rPr>
                <w:rFonts w:eastAsia="仿宋"/>
                <w:sz w:val="24"/>
              </w:rPr>
            </w:pPr>
          </w:p>
        </w:tc>
        <w:tc>
          <w:tcPr>
            <w:tcW w:w="765" w:type="dxa"/>
            <w:tcBorders>
              <w:top w:val="single" w:color="auto" w:sz="4" w:space="0"/>
              <w:left w:val="nil"/>
              <w:right w:val="single" w:color="auto" w:sz="4" w:space="0"/>
            </w:tcBorders>
            <w:vAlign w:val="center"/>
          </w:tcPr>
          <w:p w14:paraId="1D204668">
            <w:pPr>
              <w:rPr>
                <w:rFonts w:eastAsia="仿宋"/>
                <w:color w:val="000000"/>
                <w:sz w:val="24"/>
              </w:rPr>
            </w:pPr>
            <w:r>
              <w:rPr>
                <w:rFonts w:hint="eastAsia" w:eastAsia="仿宋"/>
                <w:color w:val="000000"/>
                <w:sz w:val="24"/>
              </w:rPr>
              <w:t>4分</w:t>
            </w:r>
          </w:p>
        </w:tc>
        <w:tc>
          <w:tcPr>
            <w:tcW w:w="3690" w:type="dxa"/>
            <w:tcBorders>
              <w:top w:val="single" w:color="auto" w:sz="4" w:space="0"/>
              <w:left w:val="single" w:color="auto" w:sz="4" w:space="0"/>
            </w:tcBorders>
            <w:vAlign w:val="center"/>
          </w:tcPr>
          <w:p w14:paraId="13AC4C70">
            <w:pPr>
              <w:widowControl/>
              <w:rPr>
                <w:rFonts w:eastAsia="仿宋"/>
                <w:b/>
                <w:bCs/>
                <w:color w:val="000000"/>
                <w:sz w:val="24"/>
              </w:rPr>
            </w:pPr>
            <w:r>
              <w:rPr>
                <w:rFonts w:hint="eastAsia" w:eastAsia="仿宋"/>
                <w:b/>
                <w:bCs/>
                <w:color w:val="000000"/>
                <w:sz w:val="24"/>
              </w:rPr>
              <w:t>设计搭建资质（满分4分）</w:t>
            </w:r>
          </w:p>
          <w:p w14:paraId="3BD41025">
            <w:pPr>
              <w:widowControl/>
              <w:rPr>
                <w:rFonts w:eastAsia="仿宋"/>
                <w:color w:val="000000"/>
                <w:sz w:val="24"/>
              </w:rPr>
            </w:pPr>
            <w:r>
              <w:rPr>
                <w:rFonts w:eastAsia="仿宋"/>
                <w:color w:val="000000"/>
                <w:sz w:val="24"/>
              </w:rPr>
              <w:t>1.供应商具有</w:t>
            </w:r>
            <w:r>
              <w:rPr>
                <w:rFonts w:hint="eastAsia" w:eastAsia="仿宋"/>
                <w:color w:val="000000"/>
                <w:sz w:val="24"/>
              </w:rPr>
              <w:t>重庆市会展行业协会展览工程企业A级资质</w:t>
            </w:r>
            <w:r>
              <w:rPr>
                <w:rFonts w:eastAsia="仿宋"/>
                <w:color w:val="000000"/>
                <w:sz w:val="24"/>
              </w:rPr>
              <w:t>的得</w:t>
            </w:r>
            <w:r>
              <w:rPr>
                <w:rFonts w:hint="eastAsia" w:eastAsia="仿宋"/>
                <w:color w:val="000000"/>
                <w:sz w:val="24"/>
              </w:rPr>
              <w:t>2</w:t>
            </w:r>
            <w:r>
              <w:rPr>
                <w:rFonts w:eastAsia="仿宋"/>
                <w:color w:val="000000"/>
                <w:sz w:val="24"/>
              </w:rPr>
              <w:t>分，未提供不得分；</w:t>
            </w:r>
          </w:p>
          <w:p w14:paraId="117F3F10">
            <w:pPr>
              <w:widowControl/>
              <w:rPr>
                <w:rFonts w:eastAsia="仿宋"/>
                <w:color w:val="000000"/>
                <w:sz w:val="24"/>
              </w:rPr>
            </w:pPr>
            <w:r>
              <w:rPr>
                <w:rFonts w:hint="eastAsia" w:eastAsia="仿宋"/>
                <w:color w:val="000000"/>
                <w:sz w:val="24"/>
              </w:rPr>
              <w:t>2</w:t>
            </w:r>
            <w:r>
              <w:rPr>
                <w:rFonts w:eastAsia="仿宋"/>
                <w:color w:val="000000"/>
                <w:sz w:val="24"/>
              </w:rPr>
              <w:t>.供应商具有</w:t>
            </w:r>
            <w:r>
              <w:rPr>
                <w:rFonts w:hint="eastAsia" w:eastAsia="仿宋"/>
                <w:color w:val="000000"/>
                <w:sz w:val="24"/>
              </w:rPr>
              <w:t>重庆市会展行业协会展览展示设计甲级资质</w:t>
            </w:r>
            <w:r>
              <w:rPr>
                <w:rFonts w:eastAsia="仿宋"/>
                <w:color w:val="000000"/>
                <w:sz w:val="24"/>
              </w:rPr>
              <w:t>的得</w:t>
            </w:r>
            <w:r>
              <w:rPr>
                <w:rFonts w:hint="eastAsia" w:eastAsia="仿宋"/>
                <w:color w:val="000000"/>
                <w:sz w:val="24"/>
              </w:rPr>
              <w:t>2</w:t>
            </w:r>
            <w:r>
              <w:rPr>
                <w:rFonts w:eastAsia="仿宋"/>
                <w:color w:val="000000"/>
                <w:sz w:val="24"/>
              </w:rPr>
              <w:t>分，未提供不得分；</w:t>
            </w:r>
          </w:p>
        </w:tc>
        <w:tc>
          <w:tcPr>
            <w:tcW w:w="1956" w:type="dxa"/>
            <w:tcBorders>
              <w:top w:val="single" w:color="auto" w:sz="4" w:space="0"/>
              <w:left w:val="nil"/>
            </w:tcBorders>
            <w:vAlign w:val="center"/>
          </w:tcPr>
          <w:p w14:paraId="3270C349">
            <w:pPr>
              <w:widowControl/>
              <w:rPr>
                <w:rFonts w:eastAsia="仿宋"/>
                <w:color w:val="000000"/>
                <w:sz w:val="24"/>
              </w:rPr>
            </w:pPr>
            <w:r>
              <w:rPr>
                <w:rFonts w:eastAsia="仿宋"/>
                <w:color w:val="000000"/>
                <w:sz w:val="24"/>
              </w:rPr>
              <w:t>提供证书复印件，并加盖供应商公章。</w:t>
            </w:r>
          </w:p>
        </w:tc>
        <w:tc>
          <w:tcPr>
            <w:tcW w:w="954" w:type="dxa"/>
            <w:tcBorders>
              <w:top w:val="single" w:color="auto" w:sz="4" w:space="0"/>
              <w:left w:val="nil"/>
            </w:tcBorders>
            <w:vAlign w:val="center"/>
          </w:tcPr>
          <w:p w14:paraId="52D0D827">
            <w:pPr>
              <w:pStyle w:val="2"/>
              <w:rPr>
                <w:rFonts w:eastAsia="仿宋"/>
                <w:kern w:val="2"/>
              </w:rPr>
            </w:pPr>
          </w:p>
        </w:tc>
      </w:tr>
      <w:tr w14:paraId="6244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302" w:type="dxa"/>
            <w:vMerge w:val="continue"/>
            <w:tcBorders>
              <w:left w:val="single" w:color="auto" w:sz="4" w:space="0"/>
            </w:tcBorders>
            <w:vAlign w:val="center"/>
          </w:tcPr>
          <w:p w14:paraId="773FD935">
            <w:pPr>
              <w:ind w:firstLine="28"/>
              <w:jc w:val="center"/>
              <w:rPr>
                <w:rFonts w:eastAsia="仿宋"/>
                <w:sz w:val="24"/>
              </w:rPr>
            </w:pPr>
          </w:p>
        </w:tc>
        <w:tc>
          <w:tcPr>
            <w:tcW w:w="765" w:type="dxa"/>
            <w:tcBorders>
              <w:top w:val="single" w:color="auto" w:sz="4" w:space="0"/>
              <w:left w:val="nil"/>
              <w:right w:val="single" w:color="auto" w:sz="4" w:space="0"/>
            </w:tcBorders>
            <w:vAlign w:val="center"/>
          </w:tcPr>
          <w:p w14:paraId="2C703012">
            <w:pPr>
              <w:rPr>
                <w:rFonts w:eastAsia="仿宋"/>
                <w:color w:val="000000"/>
                <w:sz w:val="24"/>
              </w:rPr>
            </w:pPr>
            <w:r>
              <w:rPr>
                <w:rFonts w:hint="eastAsia" w:eastAsia="仿宋"/>
                <w:color w:val="000000"/>
                <w:sz w:val="24"/>
              </w:rPr>
              <w:t>5分</w:t>
            </w:r>
          </w:p>
        </w:tc>
        <w:tc>
          <w:tcPr>
            <w:tcW w:w="3690" w:type="dxa"/>
            <w:tcBorders>
              <w:top w:val="single" w:color="auto" w:sz="4" w:space="0"/>
              <w:left w:val="single" w:color="auto" w:sz="4" w:space="0"/>
            </w:tcBorders>
            <w:vAlign w:val="center"/>
          </w:tcPr>
          <w:p w14:paraId="427438C5">
            <w:pPr>
              <w:rPr>
                <w:rFonts w:eastAsia="仿宋"/>
                <w:b/>
                <w:bCs/>
                <w:color w:val="000000"/>
                <w:sz w:val="24"/>
              </w:rPr>
            </w:pPr>
            <w:r>
              <w:rPr>
                <w:rFonts w:hint="eastAsia" w:eastAsia="仿宋"/>
                <w:b/>
                <w:bCs/>
                <w:color w:val="000000"/>
                <w:sz w:val="24"/>
              </w:rPr>
              <w:t>企业实力及荣誉（满分5分）</w:t>
            </w:r>
          </w:p>
          <w:p w14:paraId="3C0F7619">
            <w:pPr>
              <w:rPr>
                <w:rFonts w:eastAsia="仿宋"/>
                <w:color w:val="000000"/>
                <w:sz w:val="24"/>
              </w:rPr>
            </w:pPr>
            <w:r>
              <w:rPr>
                <w:rFonts w:hint="eastAsia" w:eastAsia="仿宋"/>
                <w:color w:val="000000"/>
                <w:sz w:val="24"/>
              </w:rPr>
              <w:t>供应商自2021年1月1日至今承接的赛事、展览等类似政务活动中获得主、承办方认可的，每提供一个认可证明得1分，最多得5分。获得的认可证明必须由主、承办方或业主单位出具，形式包括但不限于荣誉证书、感谢信、表扬信等）。</w:t>
            </w:r>
          </w:p>
        </w:tc>
        <w:tc>
          <w:tcPr>
            <w:tcW w:w="1956" w:type="dxa"/>
            <w:tcBorders>
              <w:top w:val="single" w:color="auto" w:sz="4" w:space="0"/>
              <w:left w:val="nil"/>
            </w:tcBorders>
            <w:vAlign w:val="center"/>
          </w:tcPr>
          <w:p w14:paraId="5BC18068">
            <w:pPr>
              <w:widowControl/>
              <w:rPr>
                <w:rFonts w:eastAsia="仿宋"/>
                <w:color w:val="000000"/>
                <w:sz w:val="24"/>
              </w:rPr>
            </w:pPr>
            <w:r>
              <w:rPr>
                <w:rFonts w:eastAsia="仿宋"/>
                <w:color w:val="000000"/>
                <w:sz w:val="24"/>
              </w:rPr>
              <w:t>提供</w:t>
            </w:r>
            <w:r>
              <w:rPr>
                <w:rFonts w:hint="eastAsia" w:eastAsia="仿宋"/>
                <w:color w:val="000000"/>
                <w:sz w:val="24"/>
              </w:rPr>
              <w:t>认可证明</w:t>
            </w:r>
            <w:r>
              <w:rPr>
                <w:rFonts w:eastAsia="仿宋"/>
                <w:color w:val="000000"/>
                <w:sz w:val="24"/>
              </w:rPr>
              <w:t>复印件，并加盖供应商公章。</w:t>
            </w:r>
          </w:p>
        </w:tc>
        <w:tc>
          <w:tcPr>
            <w:tcW w:w="954" w:type="dxa"/>
            <w:tcBorders>
              <w:top w:val="single" w:color="auto" w:sz="4" w:space="0"/>
              <w:left w:val="nil"/>
            </w:tcBorders>
            <w:vAlign w:val="center"/>
          </w:tcPr>
          <w:p w14:paraId="45747178">
            <w:pPr>
              <w:pStyle w:val="2"/>
              <w:rPr>
                <w:rFonts w:eastAsia="仿宋"/>
                <w:kern w:val="2"/>
              </w:rPr>
            </w:pPr>
          </w:p>
        </w:tc>
      </w:tr>
      <w:tr w14:paraId="2F81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302" w:type="dxa"/>
            <w:vMerge w:val="continue"/>
            <w:tcBorders>
              <w:left w:val="single" w:color="auto" w:sz="4" w:space="0"/>
            </w:tcBorders>
            <w:vAlign w:val="center"/>
          </w:tcPr>
          <w:p w14:paraId="67CAD5E8">
            <w:pPr>
              <w:ind w:firstLine="28"/>
              <w:jc w:val="center"/>
              <w:rPr>
                <w:rFonts w:eastAsia="仿宋"/>
                <w:sz w:val="24"/>
              </w:rPr>
            </w:pPr>
          </w:p>
        </w:tc>
        <w:tc>
          <w:tcPr>
            <w:tcW w:w="765" w:type="dxa"/>
            <w:tcBorders>
              <w:left w:val="nil"/>
            </w:tcBorders>
            <w:vAlign w:val="center"/>
          </w:tcPr>
          <w:p w14:paraId="0A5A5F7C">
            <w:pPr>
              <w:rPr>
                <w:rFonts w:eastAsia="仿宋"/>
                <w:color w:val="000000"/>
                <w:sz w:val="24"/>
              </w:rPr>
            </w:pPr>
            <w:r>
              <w:rPr>
                <w:rFonts w:hint="eastAsia" w:eastAsia="仿宋"/>
                <w:color w:val="000000"/>
                <w:sz w:val="24"/>
              </w:rPr>
              <w:t>14</w:t>
            </w:r>
            <w:r>
              <w:rPr>
                <w:rFonts w:eastAsia="仿宋"/>
                <w:color w:val="000000"/>
                <w:sz w:val="24"/>
              </w:rPr>
              <w:t>分</w:t>
            </w:r>
          </w:p>
        </w:tc>
        <w:tc>
          <w:tcPr>
            <w:tcW w:w="3690" w:type="dxa"/>
            <w:tcBorders>
              <w:left w:val="nil"/>
            </w:tcBorders>
            <w:vAlign w:val="center"/>
          </w:tcPr>
          <w:p w14:paraId="327FE819">
            <w:pPr>
              <w:rPr>
                <w:rFonts w:eastAsia="仿宋"/>
                <w:b/>
                <w:bCs/>
                <w:color w:val="000000"/>
                <w:sz w:val="24"/>
              </w:rPr>
            </w:pPr>
            <w:r>
              <w:rPr>
                <w:rFonts w:hint="eastAsia" w:eastAsia="仿宋"/>
                <w:b/>
                <w:bCs/>
                <w:color w:val="000000"/>
                <w:sz w:val="24"/>
              </w:rPr>
              <w:t>活动举办经验（满分14分）</w:t>
            </w:r>
          </w:p>
          <w:p w14:paraId="02F6291C">
            <w:pPr>
              <w:rPr>
                <w:rFonts w:eastAsia="仿宋"/>
                <w:color w:val="000000"/>
                <w:sz w:val="24"/>
              </w:rPr>
            </w:pPr>
            <w:r>
              <w:rPr>
                <w:rFonts w:eastAsia="仿宋"/>
                <w:color w:val="000000"/>
                <w:sz w:val="24"/>
              </w:rPr>
              <w:t>20</w:t>
            </w:r>
            <w:r>
              <w:rPr>
                <w:rFonts w:hint="eastAsia" w:eastAsia="仿宋"/>
                <w:color w:val="000000"/>
                <w:sz w:val="24"/>
              </w:rPr>
              <w:t>21</w:t>
            </w:r>
            <w:r>
              <w:rPr>
                <w:rFonts w:eastAsia="仿宋"/>
                <w:color w:val="000000"/>
                <w:sz w:val="24"/>
              </w:rPr>
              <w:t>年1月1日至今（以合同签订时间为准），供应商承办过</w:t>
            </w:r>
            <w:r>
              <w:rPr>
                <w:rFonts w:hint="eastAsia" w:eastAsia="仿宋"/>
                <w:color w:val="000000"/>
                <w:sz w:val="24"/>
              </w:rPr>
              <w:t>省（直辖市）级及以上技能大赛、创业大赛、会议会展、展销展览或其他相关活动的，</w:t>
            </w:r>
            <w:r>
              <w:rPr>
                <w:rFonts w:eastAsia="仿宋"/>
                <w:color w:val="000000"/>
                <w:sz w:val="24"/>
              </w:rPr>
              <w:t>每提供一个案例得</w:t>
            </w:r>
            <w:r>
              <w:rPr>
                <w:rFonts w:hint="eastAsia" w:eastAsia="仿宋"/>
                <w:color w:val="000000"/>
                <w:sz w:val="24"/>
              </w:rPr>
              <w:t>2</w:t>
            </w:r>
            <w:r>
              <w:rPr>
                <w:rFonts w:eastAsia="仿宋"/>
                <w:color w:val="000000"/>
                <w:sz w:val="24"/>
              </w:rPr>
              <w:t>分，未提供不得分，本项最多得</w:t>
            </w:r>
            <w:r>
              <w:rPr>
                <w:rFonts w:hint="eastAsia" w:eastAsia="仿宋"/>
                <w:color w:val="000000"/>
                <w:sz w:val="24"/>
              </w:rPr>
              <w:t>14</w:t>
            </w:r>
            <w:r>
              <w:rPr>
                <w:rFonts w:eastAsia="仿宋"/>
                <w:color w:val="000000"/>
                <w:sz w:val="24"/>
              </w:rPr>
              <w:t>分。</w:t>
            </w:r>
          </w:p>
        </w:tc>
        <w:tc>
          <w:tcPr>
            <w:tcW w:w="1956" w:type="dxa"/>
            <w:tcBorders>
              <w:left w:val="nil"/>
            </w:tcBorders>
            <w:vAlign w:val="center"/>
          </w:tcPr>
          <w:p w14:paraId="330BB08F">
            <w:pPr>
              <w:widowControl/>
              <w:jc w:val="left"/>
              <w:rPr>
                <w:rFonts w:eastAsia="仿宋"/>
                <w:kern w:val="0"/>
                <w:sz w:val="24"/>
              </w:rPr>
            </w:pPr>
            <w:r>
              <w:rPr>
                <w:rFonts w:eastAsia="仿宋"/>
                <w:kern w:val="0"/>
                <w:sz w:val="24"/>
              </w:rPr>
              <w:t>提供合同（协议）复印件（原件备查）。</w:t>
            </w:r>
          </w:p>
          <w:p w14:paraId="0CF5C17E">
            <w:pPr>
              <w:widowControl/>
              <w:jc w:val="left"/>
              <w:rPr>
                <w:rFonts w:eastAsia="仿宋"/>
                <w:color w:val="FF0000"/>
                <w:kern w:val="0"/>
                <w:sz w:val="24"/>
              </w:rPr>
            </w:pPr>
            <w:r>
              <w:rPr>
                <w:rFonts w:eastAsia="仿宋"/>
                <w:kern w:val="0"/>
                <w:sz w:val="24"/>
              </w:rPr>
              <w:t>注：同一</w:t>
            </w:r>
            <w:r>
              <w:rPr>
                <w:rFonts w:hint="eastAsia" w:eastAsia="仿宋"/>
                <w:kern w:val="0"/>
                <w:sz w:val="24"/>
              </w:rPr>
              <w:t>活动</w:t>
            </w:r>
            <w:r>
              <w:rPr>
                <w:rFonts w:eastAsia="仿宋"/>
                <w:kern w:val="0"/>
                <w:sz w:val="24"/>
              </w:rPr>
              <w:t>不重复得分。</w:t>
            </w:r>
          </w:p>
        </w:tc>
        <w:tc>
          <w:tcPr>
            <w:tcW w:w="954" w:type="dxa"/>
            <w:tcBorders>
              <w:left w:val="nil"/>
            </w:tcBorders>
            <w:vAlign w:val="center"/>
          </w:tcPr>
          <w:p w14:paraId="0A305543">
            <w:pPr>
              <w:widowControl/>
              <w:jc w:val="left"/>
              <w:rPr>
                <w:rFonts w:eastAsia="仿宋"/>
                <w:kern w:val="0"/>
                <w:sz w:val="24"/>
              </w:rPr>
            </w:pPr>
          </w:p>
        </w:tc>
      </w:tr>
      <w:tr w14:paraId="61F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302" w:type="dxa"/>
            <w:vMerge w:val="continue"/>
            <w:tcBorders>
              <w:left w:val="single" w:color="auto" w:sz="4" w:space="0"/>
            </w:tcBorders>
            <w:vAlign w:val="center"/>
          </w:tcPr>
          <w:p w14:paraId="1B90E20B">
            <w:pPr>
              <w:ind w:firstLine="28"/>
              <w:jc w:val="center"/>
              <w:rPr>
                <w:rFonts w:eastAsia="仿宋"/>
                <w:sz w:val="24"/>
              </w:rPr>
            </w:pPr>
          </w:p>
        </w:tc>
        <w:tc>
          <w:tcPr>
            <w:tcW w:w="765" w:type="dxa"/>
            <w:tcBorders>
              <w:left w:val="nil"/>
            </w:tcBorders>
            <w:vAlign w:val="center"/>
          </w:tcPr>
          <w:p w14:paraId="4556241C">
            <w:pPr>
              <w:widowControl/>
              <w:spacing w:before="156" w:beforeLines="50" w:line="300" w:lineRule="exact"/>
              <w:jc w:val="center"/>
              <w:rPr>
                <w:rFonts w:eastAsia="仿宋"/>
                <w:sz w:val="24"/>
              </w:rPr>
            </w:pPr>
            <w:r>
              <w:rPr>
                <w:rFonts w:hint="eastAsia" w:eastAsia="仿宋"/>
                <w:sz w:val="24"/>
              </w:rPr>
              <w:t>11</w:t>
            </w:r>
            <w:r>
              <w:rPr>
                <w:rFonts w:eastAsia="仿宋"/>
                <w:sz w:val="24"/>
              </w:rPr>
              <w:t>分</w:t>
            </w:r>
          </w:p>
        </w:tc>
        <w:tc>
          <w:tcPr>
            <w:tcW w:w="3690" w:type="dxa"/>
            <w:tcBorders>
              <w:left w:val="nil"/>
            </w:tcBorders>
            <w:vAlign w:val="center"/>
          </w:tcPr>
          <w:p w14:paraId="24EA9220">
            <w:pPr>
              <w:widowControl/>
              <w:spacing w:before="156" w:beforeLines="50" w:line="300" w:lineRule="exact"/>
              <w:jc w:val="left"/>
              <w:rPr>
                <w:rFonts w:eastAsia="仿宋"/>
                <w:b/>
                <w:bCs/>
                <w:kern w:val="0"/>
                <w:sz w:val="24"/>
              </w:rPr>
            </w:pPr>
            <w:r>
              <w:rPr>
                <w:rFonts w:eastAsia="仿宋"/>
                <w:b/>
                <w:bCs/>
                <w:kern w:val="0"/>
                <w:sz w:val="24"/>
                <w:lang w:eastAsia="zh-Hans"/>
              </w:rPr>
              <w:t>团队</w:t>
            </w:r>
            <w:r>
              <w:rPr>
                <w:rFonts w:eastAsia="仿宋"/>
                <w:b/>
                <w:bCs/>
                <w:kern w:val="0"/>
                <w:sz w:val="24"/>
              </w:rPr>
              <w:t>服务</w:t>
            </w:r>
            <w:r>
              <w:rPr>
                <w:rFonts w:eastAsia="仿宋"/>
                <w:b/>
                <w:bCs/>
                <w:kern w:val="0"/>
                <w:sz w:val="24"/>
                <w:lang w:eastAsia="zh-Hans"/>
              </w:rPr>
              <w:t>人员</w:t>
            </w:r>
            <w:r>
              <w:rPr>
                <w:rFonts w:hint="eastAsia" w:eastAsia="仿宋"/>
                <w:b/>
                <w:bCs/>
                <w:kern w:val="0"/>
                <w:sz w:val="24"/>
              </w:rPr>
              <w:t>（满分11分）</w:t>
            </w:r>
          </w:p>
          <w:p w14:paraId="5886F158">
            <w:pPr>
              <w:widowControl/>
              <w:spacing w:before="156" w:beforeLines="50" w:line="300" w:lineRule="exact"/>
              <w:jc w:val="left"/>
              <w:rPr>
                <w:rFonts w:eastAsia="仿宋"/>
                <w:kern w:val="0"/>
                <w:sz w:val="24"/>
              </w:rPr>
            </w:pPr>
            <w:r>
              <w:rPr>
                <w:rFonts w:hint="eastAsia" w:eastAsia="仿宋"/>
                <w:kern w:val="0"/>
                <w:sz w:val="24"/>
              </w:rPr>
              <w:t>供应商</w:t>
            </w:r>
            <w:r>
              <w:rPr>
                <w:rFonts w:eastAsia="仿宋"/>
                <w:kern w:val="0"/>
                <w:sz w:val="24"/>
                <w:lang w:eastAsia="zh-Hans"/>
              </w:rPr>
              <w:t>为本项目服务的专业团队人员</w:t>
            </w:r>
            <w:r>
              <w:rPr>
                <w:rFonts w:eastAsia="仿宋"/>
                <w:kern w:val="0"/>
                <w:sz w:val="24"/>
              </w:rPr>
              <w:t>,提供5名服务人员</w:t>
            </w:r>
            <w:r>
              <w:rPr>
                <w:rFonts w:eastAsia="仿宋"/>
                <w:kern w:val="0"/>
                <w:sz w:val="24"/>
                <w:lang w:eastAsia="zh-Hans"/>
              </w:rPr>
              <w:t>，</w:t>
            </w:r>
            <w:r>
              <w:rPr>
                <w:rFonts w:eastAsia="仿宋"/>
                <w:kern w:val="0"/>
                <w:sz w:val="24"/>
              </w:rPr>
              <w:t>得5</w:t>
            </w:r>
            <w:r>
              <w:rPr>
                <w:rFonts w:eastAsia="仿宋"/>
                <w:kern w:val="0"/>
                <w:sz w:val="24"/>
                <w:lang w:eastAsia="zh-Hans"/>
              </w:rPr>
              <w:t>分</w:t>
            </w:r>
            <w:r>
              <w:rPr>
                <w:rFonts w:eastAsia="仿宋"/>
                <w:kern w:val="0"/>
                <w:sz w:val="24"/>
              </w:rPr>
              <w:t>；在此（5人）基础上，每增加一名加</w:t>
            </w:r>
            <w:r>
              <w:rPr>
                <w:rFonts w:hint="eastAsia" w:eastAsia="仿宋"/>
                <w:kern w:val="0"/>
                <w:sz w:val="24"/>
              </w:rPr>
              <w:t>1</w:t>
            </w:r>
            <w:r>
              <w:rPr>
                <w:rFonts w:eastAsia="仿宋"/>
                <w:kern w:val="0"/>
                <w:sz w:val="24"/>
              </w:rPr>
              <w:t>分，最多得</w:t>
            </w:r>
            <w:r>
              <w:rPr>
                <w:rFonts w:hint="eastAsia" w:eastAsia="仿宋"/>
                <w:kern w:val="0"/>
                <w:sz w:val="24"/>
              </w:rPr>
              <w:t>6</w:t>
            </w:r>
            <w:r>
              <w:rPr>
                <w:rFonts w:eastAsia="仿宋"/>
                <w:kern w:val="0"/>
                <w:sz w:val="24"/>
              </w:rPr>
              <w:t>分，（满分</w:t>
            </w:r>
            <w:r>
              <w:rPr>
                <w:rFonts w:hint="eastAsia" w:eastAsia="仿宋"/>
                <w:kern w:val="0"/>
                <w:sz w:val="24"/>
              </w:rPr>
              <w:t>11</w:t>
            </w:r>
            <w:r>
              <w:rPr>
                <w:rFonts w:eastAsia="仿宋"/>
                <w:kern w:val="0"/>
                <w:sz w:val="24"/>
              </w:rPr>
              <w:t>分）。</w:t>
            </w:r>
          </w:p>
        </w:tc>
        <w:tc>
          <w:tcPr>
            <w:tcW w:w="1956" w:type="dxa"/>
            <w:tcBorders>
              <w:left w:val="nil"/>
            </w:tcBorders>
            <w:vAlign w:val="center"/>
          </w:tcPr>
          <w:p w14:paraId="6D26FF3B">
            <w:pPr>
              <w:widowControl/>
              <w:jc w:val="left"/>
              <w:rPr>
                <w:rFonts w:eastAsia="仿宋"/>
                <w:kern w:val="0"/>
                <w:sz w:val="24"/>
              </w:rPr>
            </w:pPr>
            <w:r>
              <w:rPr>
                <w:rFonts w:eastAsia="仿宋"/>
                <w:kern w:val="0"/>
                <w:sz w:val="24"/>
                <w:lang w:eastAsia="zh-Hans"/>
              </w:rPr>
              <w:t>提供人员名单及</w:t>
            </w:r>
            <w:r>
              <w:rPr>
                <w:rFonts w:eastAsia="仿宋"/>
                <w:kern w:val="0"/>
                <w:sz w:val="24"/>
              </w:rPr>
              <w:t>缴纳的社保证明材料复印件，提供人员的专业资质证书复印件，社保证明材料和证书原件备查。</w:t>
            </w:r>
          </w:p>
        </w:tc>
        <w:tc>
          <w:tcPr>
            <w:tcW w:w="954" w:type="dxa"/>
            <w:tcBorders>
              <w:left w:val="nil"/>
            </w:tcBorders>
            <w:vAlign w:val="center"/>
          </w:tcPr>
          <w:p w14:paraId="1956B92A">
            <w:pPr>
              <w:widowControl/>
              <w:jc w:val="left"/>
              <w:rPr>
                <w:rFonts w:eastAsia="仿宋"/>
                <w:kern w:val="0"/>
                <w:sz w:val="24"/>
                <w:lang w:eastAsia="zh-Hans"/>
              </w:rPr>
            </w:pPr>
          </w:p>
        </w:tc>
      </w:tr>
    </w:tbl>
    <w:p w14:paraId="00591E91">
      <w:pPr>
        <w:spacing w:line="600" w:lineRule="exact"/>
        <w:jc w:val="left"/>
        <w:rPr>
          <w:rFonts w:eastAsia="仿宋_GB2312"/>
          <w:b/>
          <w:color w:val="333333"/>
          <w:spacing w:val="8"/>
          <w:kern w:val="0"/>
          <w:sz w:val="32"/>
          <w:szCs w:val="32"/>
        </w:rPr>
      </w:pPr>
    </w:p>
    <w:p w14:paraId="3A188EF4"/>
    <w:sectPr>
      <w:footerReference r:id="rId3" w:type="default"/>
      <w:pgSz w:w="11906" w:h="16838"/>
      <w:pgMar w:top="1984" w:right="1446" w:bottom="1644" w:left="144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A561">
    <w:pPr>
      <w:pStyle w:val="3"/>
    </w:pPr>
  </w:p>
  <w:p w14:paraId="3505D28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B617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9B617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23E0E"/>
    <w:rsid w:val="0E92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2026-03-05T08:22:00Z</dcterms:created>
  <dc:creator>Sustain</dc:creator>
  <cp:lastModifiedBy>Sustain</cp:lastModifiedBy>
  <dcterms:modified xsi:type="dcterms:W3CDTF">2026-03-05T08:23:00Z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AD9F0DEFF36B4AA1AB959EF7A725330F_11</vt:lpwstr>
  </property>
  <property fmtid="{D5CDD505-2E9C-101B-9397-08002B2CF9AE}" pid="4" name="KSOTemplateDocerSaveRecord">
    <vt:lpwstr>eyJoZGlkIjoiMWIxNjQ3Y2E4ZTFiMmE2YmFiODFkOTEyOTcwZGFjODkiLCJ1c2VySWQiOiI5NzE3MTI4MDgifQ==</vt:lpwstr>
  </property>
</Properties>
</file>